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7A" w:rsidRPr="00B3037A" w:rsidRDefault="00B3037A" w:rsidP="00B3037A">
      <w:pPr>
        <w:pStyle w:val="KeinLeerraum"/>
        <w:rPr>
          <w:rFonts w:ascii="Times New Roman" w:hAnsi="Times New Roman" w:cs="Times New Roman"/>
          <w:sz w:val="20"/>
          <w:szCs w:val="20"/>
        </w:rPr>
      </w:pPr>
      <w:r w:rsidRPr="00B3037A">
        <w:rPr>
          <w:rFonts w:ascii="Times New Roman" w:hAnsi="Times New Roman" w:cs="Times New Roman"/>
          <w:sz w:val="20"/>
          <w:szCs w:val="20"/>
        </w:rPr>
        <w:t>Rheinische Friedrich-Wilhelms-Universität Bonn</w:t>
      </w:r>
    </w:p>
    <w:p w:rsidR="00B3037A" w:rsidRPr="00B3037A" w:rsidRDefault="00B3037A" w:rsidP="00B3037A">
      <w:pPr>
        <w:pStyle w:val="KeinLeerraum"/>
        <w:rPr>
          <w:rFonts w:ascii="Times New Roman" w:hAnsi="Times New Roman" w:cs="Times New Roman"/>
          <w:sz w:val="20"/>
          <w:szCs w:val="20"/>
        </w:rPr>
      </w:pPr>
      <w:r w:rsidRPr="00B3037A">
        <w:rPr>
          <w:rFonts w:ascii="Times New Roman" w:hAnsi="Times New Roman" w:cs="Times New Roman"/>
          <w:sz w:val="20"/>
          <w:szCs w:val="20"/>
        </w:rPr>
        <w:t>Institut für Germanistik, Vergleichende Literatur- und Kulturwissenschaft</w:t>
      </w:r>
    </w:p>
    <w:p w:rsidR="00B3037A" w:rsidRPr="00B3037A" w:rsidRDefault="00B3037A" w:rsidP="00B3037A">
      <w:pPr>
        <w:pStyle w:val="KeinLeerraum"/>
        <w:rPr>
          <w:rFonts w:ascii="Times New Roman" w:hAnsi="Times New Roman" w:cs="Times New Roman"/>
          <w:sz w:val="20"/>
          <w:szCs w:val="20"/>
        </w:rPr>
      </w:pPr>
      <w:r>
        <w:rPr>
          <w:rFonts w:ascii="Times New Roman" w:hAnsi="Times New Roman" w:cs="Times New Roman"/>
          <w:sz w:val="20"/>
          <w:szCs w:val="20"/>
        </w:rPr>
        <w:t>Sommersemester 2017</w:t>
      </w:r>
    </w:p>
    <w:p w:rsidR="00B3037A" w:rsidRPr="00B3037A" w:rsidRDefault="00B3037A" w:rsidP="00B3037A">
      <w:pPr>
        <w:pStyle w:val="KeinLeerraum"/>
        <w:rPr>
          <w:rFonts w:ascii="Times New Roman" w:hAnsi="Times New Roman" w:cs="Times New Roman"/>
          <w:sz w:val="20"/>
          <w:szCs w:val="20"/>
        </w:rPr>
      </w:pPr>
      <w:r>
        <w:rPr>
          <w:rFonts w:ascii="Times New Roman" w:hAnsi="Times New Roman" w:cs="Times New Roman"/>
          <w:sz w:val="20"/>
          <w:szCs w:val="20"/>
        </w:rPr>
        <w:t>Mediale Klischees der „femme enfant“</w:t>
      </w:r>
    </w:p>
    <w:p w:rsidR="00B3037A" w:rsidRPr="00B3037A" w:rsidRDefault="00B3037A" w:rsidP="00B3037A">
      <w:pPr>
        <w:pStyle w:val="KeinLeerraum"/>
        <w:rPr>
          <w:rFonts w:ascii="Times New Roman" w:hAnsi="Times New Roman" w:cs="Times New Roman"/>
          <w:sz w:val="20"/>
          <w:szCs w:val="20"/>
        </w:rPr>
      </w:pPr>
      <w:r>
        <w:rPr>
          <w:rFonts w:ascii="Times New Roman" w:hAnsi="Times New Roman" w:cs="Times New Roman"/>
          <w:sz w:val="20"/>
          <w:szCs w:val="20"/>
        </w:rPr>
        <w:t>Dozent: Prof Dr Michael Wetzel</w:t>
      </w:r>
    </w:p>
    <w:p w:rsidR="00B3037A" w:rsidRPr="00B3037A" w:rsidRDefault="00B3037A" w:rsidP="00B3037A">
      <w:pPr>
        <w:pStyle w:val="KeinLeerraum"/>
        <w:rPr>
          <w:rFonts w:ascii="Times New Roman" w:hAnsi="Times New Roman" w:cs="Times New Roman"/>
          <w:sz w:val="20"/>
          <w:szCs w:val="20"/>
        </w:rPr>
      </w:pPr>
      <w:r>
        <w:rPr>
          <w:rFonts w:ascii="Times New Roman" w:hAnsi="Times New Roman" w:cs="Times New Roman"/>
          <w:sz w:val="20"/>
          <w:szCs w:val="20"/>
        </w:rPr>
        <w:t>Protokollant</w:t>
      </w:r>
      <w:r w:rsidRPr="00B3037A">
        <w:rPr>
          <w:rFonts w:ascii="Times New Roman" w:hAnsi="Times New Roman" w:cs="Times New Roman"/>
          <w:sz w:val="20"/>
          <w:szCs w:val="20"/>
        </w:rPr>
        <w:t xml:space="preserve">: Elmo Abarca </w:t>
      </w:r>
    </w:p>
    <w:p w:rsidR="0015005C" w:rsidRDefault="0015005C" w:rsidP="00B3037A">
      <w:pPr>
        <w:pStyle w:val="KeinLeerraum"/>
        <w:rPr>
          <w:rFonts w:ascii="Times New Roman" w:hAnsi="Times New Roman" w:cs="Times New Roman"/>
          <w:sz w:val="20"/>
          <w:szCs w:val="20"/>
        </w:rPr>
      </w:pPr>
    </w:p>
    <w:p w:rsidR="00A47F24" w:rsidRDefault="00A47F24" w:rsidP="00B3037A">
      <w:pPr>
        <w:pStyle w:val="KeinLeerraum"/>
        <w:rPr>
          <w:rFonts w:ascii="Times New Roman" w:hAnsi="Times New Roman" w:cs="Times New Roman"/>
          <w:sz w:val="20"/>
          <w:szCs w:val="20"/>
        </w:rPr>
      </w:pPr>
    </w:p>
    <w:p w:rsidR="00A47F24" w:rsidRDefault="00A47F24" w:rsidP="00B3037A">
      <w:pPr>
        <w:pStyle w:val="KeinLeerraum"/>
        <w:rPr>
          <w:rFonts w:ascii="Times New Roman" w:hAnsi="Times New Roman" w:cs="Times New Roman"/>
          <w:sz w:val="20"/>
          <w:szCs w:val="20"/>
        </w:rPr>
      </w:pPr>
    </w:p>
    <w:p w:rsidR="00A47F24" w:rsidRPr="0004315F" w:rsidRDefault="00A47F24" w:rsidP="00A47F24">
      <w:pPr>
        <w:jc w:val="center"/>
        <w:rPr>
          <w:rFonts w:ascii="Times New Roman" w:hAnsi="Times New Roman" w:cs="Times New Roman"/>
          <w:sz w:val="32"/>
          <w:szCs w:val="32"/>
        </w:rPr>
      </w:pPr>
      <w:r w:rsidRPr="0004315F">
        <w:rPr>
          <w:rFonts w:ascii="Times New Roman" w:hAnsi="Times New Roman" w:cs="Times New Roman"/>
          <w:sz w:val="32"/>
          <w:szCs w:val="32"/>
        </w:rPr>
        <w:t>Stundenprotokoll für die Sitzung vom 20.04.2017</w:t>
      </w:r>
    </w:p>
    <w:p w:rsidR="00A47F24" w:rsidRPr="004542F1" w:rsidRDefault="0004315F" w:rsidP="00085E5B">
      <w:pPr>
        <w:jc w:val="both"/>
        <w:rPr>
          <w:rFonts w:ascii="Times New Roman" w:hAnsi="Times New Roman" w:cs="Times New Roman"/>
          <w:sz w:val="24"/>
          <w:szCs w:val="24"/>
        </w:rPr>
      </w:pPr>
      <w:r w:rsidRPr="004542F1">
        <w:rPr>
          <w:rFonts w:ascii="Times New Roman" w:hAnsi="Times New Roman" w:cs="Times New Roman"/>
          <w:sz w:val="24"/>
          <w:szCs w:val="24"/>
        </w:rPr>
        <w:t xml:space="preserve">Zu Beginn der 1. Sitzung des Seminars haben wir </w:t>
      </w:r>
      <w:r w:rsidR="00147CFC">
        <w:rPr>
          <w:rFonts w:ascii="Times New Roman" w:hAnsi="Times New Roman" w:cs="Times New Roman"/>
          <w:sz w:val="24"/>
          <w:szCs w:val="24"/>
        </w:rPr>
        <w:t xml:space="preserve">zunächst </w:t>
      </w:r>
      <w:r w:rsidRPr="004542F1">
        <w:rPr>
          <w:rFonts w:ascii="Times New Roman" w:hAnsi="Times New Roman" w:cs="Times New Roman"/>
          <w:sz w:val="24"/>
          <w:szCs w:val="24"/>
        </w:rPr>
        <w:t>organisato</w:t>
      </w:r>
      <w:r w:rsidR="00147CFC">
        <w:rPr>
          <w:rFonts w:ascii="Times New Roman" w:hAnsi="Times New Roman" w:cs="Times New Roman"/>
          <w:sz w:val="24"/>
          <w:szCs w:val="24"/>
        </w:rPr>
        <w:t>risches besprochen</w:t>
      </w:r>
      <w:r w:rsidR="00597BE0">
        <w:rPr>
          <w:rFonts w:ascii="Times New Roman" w:hAnsi="Times New Roman" w:cs="Times New Roman"/>
          <w:sz w:val="24"/>
          <w:szCs w:val="24"/>
        </w:rPr>
        <w:t>. Zudem ist</w:t>
      </w:r>
      <w:bookmarkStart w:id="0" w:name="_GoBack"/>
      <w:bookmarkEnd w:id="0"/>
      <w:r w:rsidR="00147CFC">
        <w:rPr>
          <w:rFonts w:ascii="Times New Roman" w:hAnsi="Times New Roman" w:cs="Times New Roman"/>
          <w:sz w:val="24"/>
          <w:szCs w:val="24"/>
        </w:rPr>
        <w:t xml:space="preserve"> jeder Teilnehmer </w:t>
      </w:r>
      <w:r w:rsidRPr="004542F1">
        <w:rPr>
          <w:rFonts w:ascii="Times New Roman" w:hAnsi="Times New Roman" w:cs="Times New Roman"/>
          <w:sz w:val="24"/>
          <w:szCs w:val="24"/>
        </w:rPr>
        <w:t xml:space="preserve">aufgefordert, einen Reader zu beschaffen. Weiterhin soll jeder Besucher des Seminars jeweils ein Impulsreferat halten oder ein Stundenprotokoll anfertigen. </w:t>
      </w:r>
      <w:r w:rsidR="00F21B2C" w:rsidRPr="004542F1">
        <w:rPr>
          <w:rFonts w:ascii="Times New Roman" w:hAnsi="Times New Roman" w:cs="Times New Roman"/>
          <w:sz w:val="24"/>
          <w:szCs w:val="24"/>
        </w:rPr>
        <w:t>Herr Wetzel hat uns anschließend einen Überblick über das Seminar gegeben. Er erklärte den Begriff der „femme enfant“, dieser setzt sich a</w:t>
      </w:r>
      <w:r w:rsidR="00257AF3" w:rsidRPr="004542F1">
        <w:rPr>
          <w:rFonts w:ascii="Times New Roman" w:hAnsi="Times New Roman" w:cs="Times New Roman"/>
          <w:sz w:val="24"/>
          <w:szCs w:val="24"/>
        </w:rPr>
        <w:t xml:space="preserve">us zwei Wörtern zusammen, „femme“ was Frau bedeutet und „enfant“ was Kind bedeutet. „Femme enfant“ beschreibt demnach eine kindische Frau, die jung und jungfräulich sei, aber auch sexualisiert und somit auch sehr ambivalent. Der entsprechend deutsche Begriff wäre die </w:t>
      </w:r>
      <w:r w:rsidR="00147CFC">
        <w:rPr>
          <w:rFonts w:ascii="Times New Roman" w:hAnsi="Times New Roman" w:cs="Times New Roman"/>
          <w:sz w:val="24"/>
          <w:szCs w:val="24"/>
        </w:rPr>
        <w:t>„</w:t>
      </w:r>
      <w:r w:rsidR="00257AF3" w:rsidRPr="004542F1">
        <w:rPr>
          <w:rFonts w:ascii="Times New Roman" w:hAnsi="Times New Roman" w:cs="Times New Roman"/>
          <w:sz w:val="24"/>
          <w:szCs w:val="24"/>
        </w:rPr>
        <w:t>Kindfrau</w:t>
      </w:r>
      <w:r w:rsidR="00147CFC">
        <w:rPr>
          <w:rFonts w:ascii="Times New Roman" w:hAnsi="Times New Roman" w:cs="Times New Roman"/>
          <w:sz w:val="24"/>
          <w:szCs w:val="24"/>
        </w:rPr>
        <w:t>“</w:t>
      </w:r>
      <w:r w:rsidR="00257AF3" w:rsidRPr="004542F1">
        <w:rPr>
          <w:rFonts w:ascii="Times New Roman" w:hAnsi="Times New Roman" w:cs="Times New Roman"/>
          <w:sz w:val="24"/>
          <w:szCs w:val="24"/>
        </w:rPr>
        <w:t xml:space="preserve">. Herr Wetzel erklärte, dass er einen eigenen Begriff verwende, die </w:t>
      </w:r>
      <w:r w:rsidR="00147CFC">
        <w:rPr>
          <w:rFonts w:ascii="Times New Roman" w:hAnsi="Times New Roman" w:cs="Times New Roman"/>
          <w:sz w:val="24"/>
          <w:szCs w:val="24"/>
        </w:rPr>
        <w:t>„</w:t>
      </w:r>
      <w:r w:rsidR="00257AF3" w:rsidRPr="004542F1">
        <w:rPr>
          <w:rFonts w:ascii="Times New Roman" w:hAnsi="Times New Roman" w:cs="Times New Roman"/>
          <w:sz w:val="24"/>
          <w:szCs w:val="24"/>
        </w:rPr>
        <w:t>Kindsbraut</w:t>
      </w:r>
      <w:r w:rsidR="00147CFC">
        <w:rPr>
          <w:rFonts w:ascii="Times New Roman" w:hAnsi="Times New Roman" w:cs="Times New Roman"/>
          <w:sz w:val="24"/>
          <w:szCs w:val="24"/>
        </w:rPr>
        <w:t>“</w:t>
      </w:r>
      <w:r w:rsidR="00257AF3" w:rsidRPr="004542F1">
        <w:rPr>
          <w:rFonts w:ascii="Times New Roman" w:hAnsi="Times New Roman" w:cs="Times New Roman"/>
          <w:sz w:val="24"/>
          <w:szCs w:val="24"/>
        </w:rPr>
        <w:t xml:space="preserve">. Dieser beziehe sich auf den Roman </w:t>
      </w:r>
      <w:r w:rsidR="00147CFC">
        <w:rPr>
          <w:rFonts w:ascii="Times New Roman" w:hAnsi="Times New Roman" w:cs="Times New Roman"/>
          <w:sz w:val="24"/>
          <w:szCs w:val="24"/>
        </w:rPr>
        <w:t>„</w:t>
      </w:r>
      <w:r w:rsidR="00257AF3" w:rsidRPr="004542F1">
        <w:rPr>
          <w:rFonts w:ascii="Times New Roman" w:hAnsi="Times New Roman" w:cs="Times New Roman"/>
          <w:sz w:val="24"/>
          <w:szCs w:val="24"/>
        </w:rPr>
        <w:t>David Copperfield</w:t>
      </w:r>
      <w:r w:rsidR="00147CFC">
        <w:rPr>
          <w:rFonts w:ascii="Times New Roman" w:hAnsi="Times New Roman" w:cs="Times New Roman"/>
          <w:sz w:val="24"/>
          <w:szCs w:val="24"/>
        </w:rPr>
        <w:t>“</w:t>
      </w:r>
      <w:r w:rsidR="00257AF3" w:rsidRPr="004542F1">
        <w:rPr>
          <w:rFonts w:ascii="Times New Roman" w:hAnsi="Times New Roman" w:cs="Times New Roman"/>
          <w:sz w:val="24"/>
          <w:szCs w:val="24"/>
        </w:rPr>
        <w:t xml:space="preserve"> von Charles Dickens. </w:t>
      </w:r>
      <w:r w:rsidR="009E5727" w:rsidRPr="004542F1">
        <w:rPr>
          <w:rFonts w:ascii="Times New Roman" w:hAnsi="Times New Roman" w:cs="Times New Roman"/>
          <w:sz w:val="24"/>
          <w:szCs w:val="24"/>
        </w:rPr>
        <w:t>Das Wort Braut hebt den Widerspruch stärker hervor. Die Kindsbr</w:t>
      </w:r>
      <w:r w:rsidR="00147CFC">
        <w:rPr>
          <w:rFonts w:ascii="Times New Roman" w:hAnsi="Times New Roman" w:cs="Times New Roman"/>
          <w:sz w:val="24"/>
          <w:szCs w:val="24"/>
        </w:rPr>
        <w:t>aut sei zwar</w:t>
      </w:r>
      <w:r w:rsidR="009E5727" w:rsidRPr="004542F1">
        <w:rPr>
          <w:rFonts w:ascii="Times New Roman" w:hAnsi="Times New Roman" w:cs="Times New Roman"/>
          <w:sz w:val="24"/>
          <w:szCs w:val="24"/>
        </w:rPr>
        <w:t xml:space="preserve"> noch ein Kind aber trotzdem schon eine Frau. Sie ist in </w:t>
      </w:r>
      <w:r w:rsidR="00147CFC">
        <w:rPr>
          <w:rFonts w:ascii="Times New Roman" w:hAnsi="Times New Roman" w:cs="Times New Roman"/>
          <w:sz w:val="24"/>
          <w:szCs w:val="24"/>
        </w:rPr>
        <w:t xml:space="preserve">einem Zwischenstadium gefangen und </w:t>
      </w:r>
      <w:r w:rsidR="009E5727" w:rsidRPr="004542F1">
        <w:rPr>
          <w:rFonts w:ascii="Times New Roman" w:hAnsi="Times New Roman" w:cs="Times New Roman"/>
          <w:sz w:val="24"/>
          <w:szCs w:val="24"/>
        </w:rPr>
        <w:t xml:space="preserve">ist nicht entwicklungsfähig. </w:t>
      </w:r>
      <w:r w:rsidR="00F52BE5" w:rsidRPr="004542F1">
        <w:rPr>
          <w:rFonts w:ascii="Times New Roman" w:hAnsi="Times New Roman" w:cs="Times New Roman"/>
          <w:sz w:val="24"/>
          <w:szCs w:val="24"/>
        </w:rPr>
        <w:t xml:space="preserve">In Folge dessen sprachen wir über die Kindsbraut in der Literatur. Die erste </w:t>
      </w:r>
      <w:r w:rsidR="00147CFC">
        <w:rPr>
          <w:rFonts w:ascii="Times New Roman" w:hAnsi="Times New Roman" w:cs="Times New Roman"/>
          <w:sz w:val="24"/>
          <w:szCs w:val="24"/>
        </w:rPr>
        <w:t xml:space="preserve"> erwähnenswerte </w:t>
      </w:r>
      <w:r w:rsidR="00F52BE5" w:rsidRPr="004542F1">
        <w:rPr>
          <w:rFonts w:ascii="Times New Roman" w:hAnsi="Times New Roman" w:cs="Times New Roman"/>
          <w:sz w:val="24"/>
          <w:szCs w:val="24"/>
        </w:rPr>
        <w:t xml:space="preserve">Kindsbraut ist die Figur Mignon in Goethes Roman </w:t>
      </w:r>
      <w:r w:rsidR="00147CFC">
        <w:rPr>
          <w:rFonts w:ascii="Times New Roman" w:hAnsi="Times New Roman" w:cs="Times New Roman"/>
          <w:sz w:val="24"/>
          <w:szCs w:val="24"/>
        </w:rPr>
        <w:t>„</w:t>
      </w:r>
      <w:r w:rsidR="00F52BE5" w:rsidRPr="004542F1">
        <w:rPr>
          <w:rFonts w:ascii="Times New Roman" w:hAnsi="Times New Roman" w:cs="Times New Roman"/>
          <w:sz w:val="24"/>
          <w:szCs w:val="24"/>
        </w:rPr>
        <w:t>Wilhelm Meisters Lehrjahre</w:t>
      </w:r>
      <w:r w:rsidR="00147CFC">
        <w:rPr>
          <w:rFonts w:ascii="Times New Roman" w:hAnsi="Times New Roman" w:cs="Times New Roman"/>
          <w:sz w:val="24"/>
          <w:szCs w:val="24"/>
        </w:rPr>
        <w:t>“</w:t>
      </w:r>
      <w:r w:rsidR="00F52BE5" w:rsidRPr="004542F1">
        <w:rPr>
          <w:rFonts w:ascii="Times New Roman" w:hAnsi="Times New Roman" w:cs="Times New Roman"/>
          <w:sz w:val="24"/>
          <w:szCs w:val="24"/>
        </w:rPr>
        <w:t xml:space="preserve">. Sie ist als ambivalente Knabenhafte Figur beschrieben, </w:t>
      </w:r>
      <w:r w:rsidR="001D600E" w:rsidRPr="004542F1">
        <w:rPr>
          <w:rFonts w:ascii="Times New Roman" w:hAnsi="Times New Roman" w:cs="Times New Roman"/>
          <w:sz w:val="24"/>
          <w:szCs w:val="24"/>
        </w:rPr>
        <w:t xml:space="preserve">die nicht eindeutig als Mann oder Frau bezeichnet wird. Der Begriff Mignon bedeutet Lustknabe. Dieser stammt aus dem Bereich der Insektenkunde und beschreibt die Puppenphase eines Schmetterlings. Ein weiteres Beispiel für die Kindsbraut ist die Figur der Ottilie aus Goethes </w:t>
      </w:r>
      <w:r w:rsidR="00147CFC">
        <w:rPr>
          <w:rFonts w:ascii="Times New Roman" w:hAnsi="Times New Roman" w:cs="Times New Roman"/>
          <w:sz w:val="24"/>
          <w:szCs w:val="24"/>
        </w:rPr>
        <w:t>„</w:t>
      </w:r>
      <w:r w:rsidR="001D600E" w:rsidRPr="004542F1">
        <w:rPr>
          <w:rFonts w:ascii="Times New Roman" w:hAnsi="Times New Roman" w:cs="Times New Roman"/>
          <w:sz w:val="24"/>
          <w:szCs w:val="24"/>
        </w:rPr>
        <w:t xml:space="preserve">Die </w:t>
      </w:r>
      <w:r w:rsidR="00147CFC" w:rsidRPr="004542F1">
        <w:rPr>
          <w:rFonts w:ascii="Times New Roman" w:hAnsi="Times New Roman" w:cs="Times New Roman"/>
          <w:sz w:val="24"/>
          <w:szCs w:val="24"/>
        </w:rPr>
        <w:t>Wahlverwandtschaften</w:t>
      </w:r>
      <w:r w:rsidR="00147CFC">
        <w:rPr>
          <w:rFonts w:ascii="Times New Roman" w:hAnsi="Times New Roman" w:cs="Times New Roman"/>
          <w:sz w:val="24"/>
          <w:szCs w:val="24"/>
        </w:rPr>
        <w:t>“</w:t>
      </w:r>
      <w:r w:rsidR="001D600E" w:rsidRPr="004542F1">
        <w:rPr>
          <w:rFonts w:ascii="Times New Roman" w:hAnsi="Times New Roman" w:cs="Times New Roman"/>
          <w:sz w:val="24"/>
          <w:szCs w:val="24"/>
        </w:rPr>
        <w:t xml:space="preserve">. Weiterhin </w:t>
      </w:r>
      <w:r w:rsidR="00147CFC">
        <w:rPr>
          <w:rFonts w:ascii="Times New Roman" w:hAnsi="Times New Roman" w:cs="Times New Roman"/>
          <w:sz w:val="24"/>
          <w:szCs w:val="24"/>
        </w:rPr>
        <w:t>haben</w:t>
      </w:r>
      <w:r w:rsidR="001D600E" w:rsidRPr="004542F1">
        <w:rPr>
          <w:rFonts w:ascii="Times New Roman" w:hAnsi="Times New Roman" w:cs="Times New Roman"/>
          <w:sz w:val="24"/>
          <w:szCs w:val="24"/>
        </w:rPr>
        <w:t xml:space="preserve"> wir uns mit der Bezeichnung der Lolita</w:t>
      </w:r>
      <w:r w:rsidR="00147CFC">
        <w:rPr>
          <w:rFonts w:ascii="Times New Roman" w:hAnsi="Times New Roman" w:cs="Times New Roman"/>
          <w:sz w:val="24"/>
          <w:szCs w:val="24"/>
        </w:rPr>
        <w:t xml:space="preserve"> befasst</w:t>
      </w:r>
      <w:r w:rsidR="001D600E" w:rsidRPr="004542F1">
        <w:rPr>
          <w:rFonts w:ascii="Times New Roman" w:hAnsi="Times New Roman" w:cs="Times New Roman"/>
          <w:sz w:val="24"/>
          <w:szCs w:val="24"/>
        </w:rPr>
        <w:t>. Dieser soll ein wichtiger Bestandteil des Seminars sein.</w:t>
      </w:r>
      <w:r w:rsidR="00C12E0B" w:rsidRPr="004542F1">
        <w:rPr>
          <w:rFonts w:ascii="Times New Roman" w:hAnsi="Times New Roman" w:cs="Times New Roman"/>
          <w:sz w:val="24"/>
          <w:szCs w:val="24"/>
        </w:rPr>
        <w:t xml:space="preserve"> </w:t>
      </w:r>
      <w:r w:rsidR="00147CFC">
        <w:rPr>
          <w:rFonts w:ascii="Times New Roman" w:hAnsi="Times New Roman" w:cs="Times New Roman"/>
          <w:sz w:val="24"/>
          <w:szCs w:val="24"/>
        </w:rPr>
        <w:t xml:space="preserve">Auch der Begriff Lolita ist </w:t>
      </w:r>
      <w:r w:rsidR="00085E5B">
        <w:rPr>
          <w:rFonts w:ascii="Times New Roman" w:hAnsi="Times New Roman" w:cs="Times New Roman"/>
          <w:sz w:val="24"/>
          <w:szCs w:val="24"/>
        </w:rPr>
        <w:t xml:space="preserve">eng </w:t>
      </w:r>
      <w:r w:rsidR="00147CFC">
        <w:rPr>
          <w:rFonts w:ascii="Times New Roman" w:hAnsi="Times New Roman" w:cs="Times New Roman"/>
          <w:sz w:val="24"/>
          <w:szCs w:val="24"/>
        </w:rPr>
        <w:t xml:space="preserve">mit der </w:t>
      </w:r>
      <w:r w:rsidR="00085E5B">
        <w:rPr>
          <w:rFonts w:ascii="Times New Roman" w:hAnsi="Times New Roman" w:cs="Times New Roman"/>
          <w:sz w:val="24"/>
          <w:szCs w:val="24"/>
        </w:rPr>
        <w:t>„</w:t>
      </w:r>
      <w:r w:rsidR="00147CFC">
        <w:rPr>
          <w:rFonts w:ascii="Times New Roman" w:hAnsi="Times New Roman" w:cs="Times New Roman"/>
          <w:sz w:val="24"/>
          <w:szCs w:val="24"/>
        </w:rPr>
        <w:t>femme enf</w:t>
      </w:r>
      <w:r w:rsidR="00085E5B">
        <w:rPr>
          <w:rFonts w:ascii="Times New Roman" w:hAnsi="Times New Roman" w:cs="Times New Roman"/>
          <w:sz w:val="24"/>
          <w:szCs w:val="24"/>
        </w:rPr>
        <w:t>a</w:t>
      </w:r>
      <w:r w:rsidR="00147CFC">
        <w:rPr>
          <w:rFonts w:ascii="Times New Roman" w:hAnsi="Times New Roman" w:cs="Times New Roman"/>
          <w:sz w:val="24"/>
          <w:szCs w:val="24"/>
        </w:rPr>
        <w:t>nt</w:t>
      </w:r>
      <w:r w:rsidR="00085E5B">
        <w:rPr>
          <w:rFonts w:ascii="Times New Roman" w:hAnsi="Times New Roman" w:cs="Times New Roman"/>
          <w:sz w:val="24"/>
          <w:szCs w:val="24"/>
        </w:rPr>
        <w:t>“</w:t>
      </w:r>
      <w:r w:rsidR="00147CFC">
        <w:rPr>
          <w:rFonts w:ascii="Times New Roman" w:hAnsi="Times New Roman" w:cs="Times New Roman"/>
          <w:sz w:val="24"/>
          <w:szCs w:val="24"/>
        </w:rPr>
        <w:t xml:space="preserve"> verbunden. </w:t>
      </w:r>
      <w:r w:rsidR="00C12E0B" w:rsidRPr="004542F1">
        <w:rPr>
          <w:rFonts w:ascii="Times New Roman" w:hAnsi="Times New Roman" w:cs="Times New Roman"/>
          <w:sz w:val="24"/>
          <w:szCs w:val="24"/>
        </w:rPr>
        <w:t xml:space="preserve">Femme enfant ist gebildet aus zwei anderen Begriffen, der </w:t>
      </w:r>
      <w:r w:rsidR="00085E5B">
        <w:rPr>
          <w:rFonts w:ascii="Times New Roman" w:hAnsi="Times New Roman" w:cs="Times New Roman"/>
          <w:sz w:val="24"/>
          <w:szCs w:val="24"/>
        </w:rPr>
        <w:t>„</w:t>
      </w:r>
      <w:r w:rsidR="00C12E0B" w:rsidRPr="004542F1">
        <w:rPr>
          <w:rFonts w:ascii="Times New Roman" w:hAnsi="Times New Roman" w:cs="Times New Roman"/>
          <w:sz w:val="24"/>
          <w:szCs w:val="24"/>
        </w:rPr>
        <w:t>femme fatale</w:t>
      </w:r>
      <w:r w:rsidR="00085E5B">
        <w:rPr>
          <w:rFonts w:ascii="Times New Roman" w:hAnsi="Times New Roman" w:cs="Times New Roman"/>
          <w:sz w:val="24"/>
          <w:szCs w:val="24"/>
        </w:rPr>
        <w:t>“</w:t>
      </w:r>
      <w:r w:rsidR="00C12E0B" w:rsidRPr="004542F1">
        <w:rPr>
          <w:rFonts w:ascii="Times New Roman" w:hAnsi="Times New Roman" w:cs="Times New Roman"/>
          <w:sz w:val="24"/>
          <w:szCs w:val="24"/>
        </w:rPr>
        <w:t xml:space="preserve"> und der </w:t>
      </w:r>
      <w:r w:rsidR="00085E5B">
        <w:rPr>
          <w:rFonts w:ascii="Times New Roman" w:hAnsi="Times New Roman" w:cs="Times New Roman"/>
          <w:sz w:val="24"/>
          <w:szCs w:val="24"/>
        </w:rPr>
        <w:t>„</w:t>
      </w:r>
      <w:r w:rsidR="00C12E0B" w:rsidRPr="004542F1">
        <w:rPr>
          <w:rFonts w:ascii="Times New Roman" w:hAnsi="Times New Roman" w:cs="Times New Roman"/>
          <w:sz w:val="24"/>
          <w:szCs w:val="24"/>
        </w:rPr>
        <w:t>femme fragile</w:t>
      </w:r>
      <w:r w:rsidR="00085E5B">
        <w:rPr>
          <w:rFonts w:ascii="Times New Roman" w:hAnsi="Times New Roman" w:cs="Times New Roman"/>
          <w:sz w:val="24"/>
          <w:szCs w:val="24"/>
        </w:rPr>
        <w:t>“</w:t>
      </w:r>
      <w:r w:rsidR="00C12E0B" w:rsidRPr="004542F1">
        <w:rPr>
          <w:rFonts w:ascii="Times New Roman" w:hAnsi="Times New Roman" w:cs="Times New Roman"/>
          <w:sz w:val="24"/>
          <w:szCs w:val="24"/>
        </w:rPr>
        <w:t xml:space="preserve">. Die </w:t>
      </w:r>
      <w:r w:rsidR="00085E5B">
        <w:rPr>
          <w:rFonts w:ascii="Times New Roman" w:hAnsi="Times New Roman" w:cs="Times New Roman"/>
          <w:sz w:val="24"/>
          <w:szCs w:val="24"/>
        </w:rPr>
        <w:t>„</w:t>
      </w:r>
      <w:r w:rsidR="00C12E0B" w:rsidRPr="004542F1">
        <w:rPr>
          <w:rFonts w:ascii="Times New Roman" w:hAnsi="Times New Roman" w:cs="Times New Roman"/>
          <w:sz w:val="24"/>
          <w:szCs w:val="24"/>
        </w:rPr>
        <w:t>femme fatale</w:t>
      </w:r>
      <w:r w:rsidR="00085E5B">
        <w:rPr>
          <w:rFonts w:ascii="Times New Roman" w:hAnsi="Times New Roman" w:cs="Times New Roman"/>
          <w:sz w:val="24"/>
          <w:szCs w:val="24"/>
        </w:rPr>
        <w:t>“</w:t>
      </w:r>
      <w:r w:rsidR="00C12E0B" w:rsidRPr="004542F1">
        <w:rPr>
          <w:rFonts w:ascii="Times New Roman" w:hAnsi="Times New Roman" w:cs="Times New Roman"/>
          <w:sz w:val="24"/>
          <w:szCs w:val="24"/>
        </w:rPr>
        <w:t xml:space="preserve"> ist sexuell aktiv, die </w:t>
      </w:r>
      <w:r w:rsidR="00085E5B">
        <w:rPr>
          <w:rFonts w:ascii="Times New Roman" w:hAnsi="Times New Roman" w:cs="Times New Roman"/>
          <w:sz w:val="24"/>
          <w:szCs w:val="24"/>
        </w:rPr>
        <w:t>„</w:t>
      </w:r>
      <w:r w:rsidR="00C12E0B" w:rsidRPr="004542F1">
        <w:rPr>
          <w:rFonts w:ascii="Times New Roman" w:hAnsi="Times New Roman" w:cs="Times New Roman"/>
          <w:sz w:val="24"/>
          <w:szCs w:val="24"/>
        </w:rPr>
        <w:t>femme fragile</w:t>
      </w:r>
      <w:r w:rsidR="00085E5B">
        <w:rPr>
          <w:rFonts w:ascii="Times New Roman" w:hAnsi="Times New Roman" w:cs="Times New Roman"/>
          <w:sz w:val="24"/>
          <w:szCs w:val="24"/>
        </w:rPr>
        <w:t>“</w:t>
      </w:r>
      <w:r w:rsidR="00C12E0B" w:rsidRPr="004542F1">
        <w:rPr>
          <w:rFonts w:ascii="Times New Roman" w:hAnsi="Times New Roman" w:cs="Times New Roman"/>
          <w:sz w:val="24"/>
          <w:szCs w:val="24"/>
        </w:rPr>
        <w:t xml:space="preserve"> hingegen ist asexuell. Im weiteren Verlauf </w:t>
      </w:r>
      <w:r w:rsidR="00085E5B">
        <w:rPr>
          <w:rFonts w:ascii="Times New Roman" w:hAnsi="Times New Roman" w:cs="Times New Roman"/>
          <w:sz w:val="24"/>
          <w:szCs w:val="24"/>
        </w:rPr>
        <w:t>der Sitzung haben</w:t>
      </w:r>
      <w:r w:rsidR="00C12E0B" w:rsidRPr="004542F1">
        <w:rPr>
          <w:rFonts w:ascii="Times New Roman" w:hAnsi="Times New Roman" w:cs="Times New Roman"/>
          <w:sz w:val="24"/>
          <w:szCs w:val="24"/>
        </w:rPr>
        <w:t xml:space="preserve"> wir über </w:t>
      </w:r>
      <w:r w:rsidR="00943216" w:rsidRPr="004542F1">
        <w:rPr>
          <w:rFonts w:ascii="Times New Roman" w:hAnsi="Times New Roman" w:cs="Times New Roman"/>
          <w:sz w:val="24"/>
          <w:szCs w:val="24"/>
        </w:rPr>
        <w:t>mögliche Kindsmänner</w:t>
      </w:r>
      <w:r w:rsidR="00085E5B">
        <w:rPr>
          <w:rFonts w:ascii="Times New Roman" w:hAnsi="Times New Roman" w:cs="Times New Roman"/>
          <w:sz w:val="24"/>
          <w:szCs w:val="24"/>
        </w:rPr>
        <w:t xml:space="preserve"> diskutiert</w:t>
      </w:r>
      <w:r w:rsidR="00943216" w:rsidRPr="004542F1">
        <w:rPr>
          <w:rFonts w:ascii="Times New Roman" w:hAnsi="Times New Roman" w:cs="Times New Roman"/>
          <w:sz w:val="24"/>
          <w:szCs w:val="24"/>
        </w:rPr>
        <w:t xml:space="preserve">. Ein Beispiel hierfür wäre Novalis aus der Epoche der Romantik. </w:t>
      </w:r>
      <w:r w:rsidR="004542F1" w:rsidRPr="004542F1">
        <w:rPr>
          <w:rFonts w:ascii="Times New Roman" w:hAnsi="Times New Roman" w:cs="Times New Roman"/>
          <w:sz w:val="24"/>
          <w:szCs w:val="24"/>
        </w:rPr>
        <w:t xml:space="preserve">Weiterhin </w:t>
      </w:r>
      <w:r w:rsidR="00085E5B">
        <w:rPr>
          <w:rFonts w:ascii="Times New Roman" w:hAnsi="Times New Roman" w:cs="Times New Roman"/>
          <w:sz w:val="24"/>
          <w:szCs w:val="24"/>
        </w:rPr>
        <w:t>haben</w:t>
      </w:r>
      <w:r w:rsidR="004542F1" w:rsidRPr="004542F1">
        <w:rPr>
          <w:rFonts w:ascii="Times New Roman" w:hAnsi="Times New Roman" w:cs="Times New Roman"/>
          <w:sz w:val="24"/>
          <w:szCs w:val="24"/>
        </w:rPr>
        <w:t xml:space="preserve"> wir über die Kindfrauen als Musen</w:t>
      </w:r>
      <w:r w:rsidR="00085E5B">
        <w:rPr>
          <w:rFonts w:ascii="Times New Roman" w:hAnsi="Times New Roman" w:cs="Times New Roman"/>
          <w:sz w:val="24"/>
          <w:szCs w:val="24"/>
        </w:rPr>
        <w:t xml:space="preserve"> gesprochen</w:t>
      </w:r>
      <w:r w:rsidR="004542F1" w:rsidRPr="004542F1">
        <w:rPr>
          <w:rFonts w:ascii="Times New Roman" w:hAnsi="Times New Roman" w:cs="Times New Roman"/>
          <w:sz w:val="24"/>
          <w:szCs w:val="24"/>
        </w:rPr>
        <w:t xml:space="preserve"> und das diese in der Romanik häufig vorzufinden sind. Später im 19. Jahrhundert wurden sie nicht mehr als Musen betrachtet, sondern als Elementargeister. </w:t>
      </w:r>
      <w:r w:rsidR="00085E5B" w:rsidRPr="004542F1">
        <w:rPr>
          <w:rFonts w:ascii="Times New Roman" w:hAnsi="Times New Roman" w:cs="Times New Roman"/>
          <w:sz w:val="24"/>
          <w:szCs w:val="24"/>
        </w:rPr>
        <w:t>Daraufhi</w:t>
      </w:r>
      <w:r w:rsidR="00085E5B">
        <w:rPr>
          <w:rFonts w:ascii="Times New Roman" w:hAnsi="Times New Roman" w:cs="Times New Roman"/>
          <w:sz w:val="24"/>
          <w:szCs w:val="24"/>
        </w:rPr>
        <w:t>n haben</w:t>
      </w:r>
      <w:r w:rsidR="004542F1" w:rsidRPr="004542F1">
        <w:rPr>
          <w:rFonts w:ascii="Times New Roman" w:hAnsi="Times New Roman" w:cs="Times New Roman"/>
          <w:sz w:val="24"/>
          <w:szCs w:val="24"/>
        </w:rPr>
        <w:t xml:space="preserve"> wir die Rolle der Kindfrauen bei Autoren wie Lewis Carrol</w:t>
      </w:r>
      <w:r w:rsidR="00085E5B">
        <w:rPr>
          <w:rFonts w:ascii="Times New Roman" w:hAnsi="Times New Roman" w:cs="Times New Roman"/>
          <w:sz w:val="24"/>
          <w:szCs w:val="24"/>
        </w:rPr>
        <w:t xml:space="preserve"> thematisiert</w:t>
      </w:r>
      <w:r w:rsidR="004542F1" w:rsidRPr="004542F1">
        <w:rPr>
          <w:rFonts w:ascii="Times New Roman" w:hAnsi="Times New Roman" w:cs="Times New Roman"/>
          <w:sz w:val="24"/>
          <w:szCs w:val="24"/>
        </w:rPr>
        <w:t xml:space="preserve"> und in welchem Bezug sie </w:t>
      </w:r>
      <w:r w:rsidR="00085E5B">
        <w:rPr>
          <w:rFonts w:ascii="Times New Roman" w:hAnsi="Times New Roman" w:cs="Times New Roman"/>
          <w:sz w:val="24"/>
          <w:szCs w:val="24"/>
        </w:rPr>
        <w:t>zueinander</w:t>
      </w:r>
      <w:r w:rsidR="004542F1" w:rsidRPr="004542F1">
        <w:rPr>
          <w:rFonts w:ascii="Times New Roman" w:hAnsi="Times New Roman" w:cs="Times New Roman"/>
          <w:sz w:val="24"/>
          <w:szCs w:val="24"/>
        </w:rPr>
        <w:t xml:space="preserve"> standen und anschließend die Rolle der Kindfrauen in versch</w:t>
      </w:r>
      <w:r w:rsidR="004542F1">
        <w:rPr>
          <w:rFonts w:ascii="Times New Roman" w:hAnsi="Times New Roman" w:cs="Times New Roman"/>
          <w:sz w:val="24"/>
          <w:szCs w:val="24"/>
        </w:rPr>
        <w:t xml:space="preserve">iedenen Kulturkreisen wie </w:t>
      </w:r>
      <w:r w:rsidR="00085E5B">
        <w:rPr>
          <w:rFonts w:ascii="Times New Roman" w:hAnsi="Times New Roman" w:cs="Times New Roman"/>
          <w:sz w:val="24"/>
          <w:szCs w:val="24"/>
        </w:rPr>
        <w:t xml:space="preserve">in </w:t>
      </w:r>
      <w:r w:rsidR="004542F1">
        <w:rPr>
          <w:rFonts w:ascii="Times New Roman" w:hAnsi="Times New Roman" w:cs="Times New Roman"/>
          <w:sz w:val="24"/>
          <w:szCs w:val="24"/>
        </w:rPr>
        <w:t xml:space="preserve">Japan, insbesondere die Gothic-Lolitas. </w:t>
      </w:r>
    </w:p>
    <w:sectPr w:rsidR="00A47F24" w:rsidRPr="00454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7A"/>
    <w:rsid w:val="0004315F"/>
    <w:rsid w:val="00085E5B"/>
    <w:rsid w:val="00147CFC"/>
    <w:rsid w:val="0015005C"/>
    <w:rsid w:val="001D600E"/>
    <w:rsid w:val="00257AF3"/>
    <w:rsid w:val="004542F1"/>
    <w:rsid w:val="00597BE0"/>
    <w:rsid w:val="00943216"/>
    <w:rsid w:val="009E5727"/>
    <w:rsid w:val="00A47F24"/>
    <w:rsid w:val="00B3037A"/>
    <w:rsid w:val="00C12E0B"/>
    <w:rsid w:val="00F21B2C"/>
    <w:rsid w:val="00F52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 Abarca</dc:creator>
  <cp:lastModifiedBy>Elmo Abarca</cp:lastModifiedBy>
  <cp:revision>7</cp:revision>
  <dcterms:created xsi:type="dcterms:W3CDTF">2017-05-02T10:29:00Z</dcterms:created>
  <dcterms:modified xsi:type="dcterms:W3CDTF">2017-05-02T18:38:00Z</dcterms:modified>
</cp:coreProperties>
</file>